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703E" w14:textId="77777777" w:rsidR="00F22CD5" w:rsidRPr="00F22CD5" w:rsidRDefault="00F22CD5" w:rsidP="00F22C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F22CD5">
        <w:rPr>
          <w:rFonts w:ascii="Times New Roman" w:eastAsia="Times New Roman" w:hAnsi="Times New Roman" w:cs="Times New Roman"/>
          <w:b/>
        </w:rPr>
        <w:t>ПЛАН ВІДНОВЛЕННЯ</w:t>
      </w:r>
    </w:p>
    <w:p w14:paraId="001AE646" w14:textId="77777777" w:rsidR="00F22CD5" w:rsidRPr="00F22CD5" w:rsidRDefault="00F22CD5" w:rsidP="00F22C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F22CD5">
        <w:rPr>
          <w:rFonts w:ascii="Times New Roman" w:eastAsia="Times New Roman" w:hAnsi="Times New Roman" w:cs="Times New Roman"/>
          <w:b/>
        </w:rPr>
        <w:t>Комітет № 2</w:t>
      </w:r>
    </w:p>
    <w:p w14:paraId="52813C50" w14:textId="30B87042" w:rsidR="00F22CD5" w:rsidRPr="00B91EEC" w:rsidRDefault="00777EC0" w:rsidP="00F22C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Робоча г</w:t>
      </w:r>
      <w:r w:rsidR="00F22CD5" w:rsidRPr="00F22CD5">
        <w:rPr>
          <w:rFonts w:ascii="Times New Roman" w:eastAsia="Times New Roman" w:hAnsi="Times New Roman" w:cs="Times New Roman"/>
          <w:b/>
        </w:rPr>
        <w:t>рупа «Функціонування фінансової системи, її реформування</w:t>
      </w:r>
      <w:r w:rsidR="00A2035D">
        <w:rPr>
          <w:rFonts w:ascii="Times New Roman" w:eastAsia="Times New Roman" w:hAnsi="Times New Roman" w:cs="Times New Roman"/>
          <w:b/>
        </w:rPr>
        <w:t xml:space="preserve"> та розвиток</w:t>
      </w:r>
      <w:r w:rsidR="00F22CD5" w:rsidRPr="00F22CD5">
        <w:rPr>
          <w:rFonts w:ascii="Times New Roman" w:eastAsia="Times New Roman" w:hAnsi="Times New Roman" w:cs="Times New Roman"/>
          <w:b/>
        </w:rPr>
        <w:t>»</w:t>
      </w:r>
    </w:p>
    <w:p w14:paraId="00000004" w14:textId="77777777" w:rsidR="00F77488" w:rsidRPr="00B91EEC" w:rsidRDefault="00F774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5" w14:textId="77777777" w:rsidR="00F77488" w:rsidRPr="00B91EEC" w:rsidRDefault="00B91EE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</w:rPr>
      </w:pPr>
      <w:r w:rsidRPr="00B91EEC">
        <w:rPr>
          <w:rFonts w:ascii="Times New Roman" w:eastAsia="Times New Roman" w:hAnsi="Times New Roman" w:cs="Times New Roman"/>
          <w:b/>
        </w:rPr>
        <w:t>Напрям “Державні (публічні) фінанси”</w:t>
      </w:r>
    </w:p>
    <w:p w14:paraId="00000006" w14:textId="77777777" w:rsidR="00F77488" w:rsidRPr="00B91EEC" w:rsidRDefault="00F77488">
      <w:pPr>
        <w:rPr>
          <w:rFonts w:ascii="Times New Roman" w:eastAsia="Times New Roman" w:hAnsi="Times New Roman" w:cs="Times New Roman"/>
          <w:b/>
        </w:rPr>
      </w:pPr>
    </w:p>
    <w:p w14:paraId="00000007" w14:textId="77777777" w:rsidR="00F77488" w:rsidRPr="00B91EEC" w:rsidRDefault="00B91EEC">
      <w:pPr>
        <w:rPr>
          <w:rFonts w:ascii="Times New Roman" w:eastAsia="Times New Roman" w:hAnsi="Times New Roman" w:cs="Times New Roman"/>
          <w:i/>
        </w:rPr>
      </w:pPr>
      <w:r w:rsidRPr="00B91EEC">
        <w:rPr>
          <w:rFonts w:ascii="Times New Roman" w:eastAsia="Times New Roman" w:hAnsi="Times New Roman" w:cs="Times New Roman"/>
          <w:b/>
        </w:rPr>
        <w:t xml:space="preserve">Підгрупа 1: Податкова політика </w:t>
      </w:r>
    </w:p>
    <w:p w14:paraId="00000008" w14:textId="77777777" w:rsidR="00F77488" w:rsidRPr="00B91EEC" w:rsidRDefault="00B91EEC" w:rsidP="00B91EEC">
      <w:pPr>
        <w:jc w:val="both"/>
        <w:rPr>
          <w:rFonts w:ascii="Times New Roman" w:eastAsia="Times New Roman" w:hAnsi="Times New Roman" w:cs="Times New Roman"/>
          <w:b/>
        </w:rPr>
      </w:pPr>
      <w:r w:rsidRPr="00B91EEC">
        <w:rPr>
          <w:rFonts w:ascii="Times New Roman" w:eastAsia="Times New Roman" w:hAnsi="Times New Roman" w:cs="Times New Roman"/>
          <w:i/>
        </w:rPr>
        <w:t>(крос з “Європейська інтеграція”, Відновлення та розвиток економіки”, “Відновлення та розбудова інфраструктури”, “Діджиталізація”, “Енергетична безпека”, “Нова аграрна політика”)</w:t>
      </w:r>
    </w:p>
    <w:p w14:paraId="00000009" w14:textId="77777777" w:rsidR="00F77488" w:rsidRPr="00B91EEC" w:rsidRDefault="00B91EEC" w:rsidP="00B91EEC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Виявлення нагальних проблем за напрямом податкової політики, викликаних війною, шляхи їх розв’язання</w:t>
      </w:r>
    </w:p>
    <w:p w14:paraId="0000000A" w14:textId="77777777" w:rsidR="00F77488" w:rsidRPr="00B91EEC" w:rsidRDefault="00B91EEC" w:rsidP="00B91EEC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Аналіз актуальних світових практик за напрямом податкової політики в інших країнах, рекомендацій OECР з фокусом на євроінтеграційний вектор розвитку України</w:t>
      </w:r>
    </w:p>
    <w:p w14:paraId="0000000B" w14:textId="74BBF75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Формування переліку заходів щодо коротко-, середньо- та довгострокової трансформації податкової політики, які узгоджуються та враховують розвиток  інституційної спроможності Державної податкової служби України, що надасть можливість забезпечувати виконання обовʼязків, покладених на неї податковим законодавством</w:t>
      </w:r>
    </w:p>
    <w:p w14:paraId="0000000C" w14:textId="77777777" w:rsidR="00F77488" w:rsidRPr="00B91EEC" w:rsidRDefault="00F774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0000000D" w14:textId="77777777" w:rsidR="00F77488" w:rsidRPr="00B91EEC" w:rsidRDefault="00B91E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 w:rsidRPr="00B91EEC">
        <w:rPr>
          <w:rFonts w:ascii="Times New Roman" w:eastAsia="Times New Roman" w:hAnsi="Times New Roman" w:cs="Times New Roman"/>
          <w:b/>
        </w:rPr>
        <w:t xml:space="preserve">Підгрупа 2: Митна політика </w:t>
      </w:r>
    </w:p>
    <w:p w14:paraId="0000000E" w14:textId="77777777" w:rsidR="00F77488" w:rsidRPr="00B91EEC" w:rsidRDefault="00B91E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B91EEC">
        <w:rPr>
          <w:rFonts w:ascii="Times New Roman" w:eastAsia="Times New Roman" w:hAnsi="Times New Roman" w:cs="Times New Roman"/>
          <w:i/>
        </w:rPr>
        <w:t>(крос з “Європейська інтеграція”, Відновлення та розвиток економіки”, “Відновлення та розбудова інфраструктури”, “Діджиталізація”, “Антикорупційна політика”)</w:t>
      </w:r>
    </w:p>
    <w:p w14:paraId="0000000F" w14:textId="7777777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Виявлення нагальних проблем за напрямом митної політики, викликаних війною, шляхи їх розв’язання</w:t>
      </w:r>
    </w:p>
    <w:p w14:paraId="00000010" w14:textId="7777777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Аналіз актуальних світових практик за напрямом митної політики в інших країнах, рекомендацій ВМО з фокусом на євроінтеграційний вектор розвитку України</w:t>
      </w:r>
    </w:p>
    <w:p w14:paraId="00000011" w14:textId="77777777" w:rsidR="00F77488" w:rsidRPr="00B91EEC" w:rsidRDefault="00B91EEC" w:rsidP="00B91EEC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Приєднання до Конвенції про процедуру спільного транзиту</w:t>
      </w:r>
    </w:p>
    <w:p w14:paraId="00000012" w14:textId="7777777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Формування переліку заходів щодо коротко-, середньо- та довгострокової трансформації митної політики, які узгоджуються та враховують розвиток інституційної спроможності Державної митної служби України, що надасть можливість забезпечувати:</w:t>
      </w:r>
    </w:p>
    <w:p w14:paraId="00000013" w14:textId="77777777" w:rsidR="00F77488" w:rsidRPr="00B91EEC" w:rsidRDefault="00B91EEC" w:rsidP="00B91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 xml:space="preserve">заходи безпеки на кордоні та під час переміщення товарів між країнами, </w:t>
      </w:r>
    </w:p>
    <w:p w14:paraId="00000014" w14:textId="77777777" w:rsidR="00F77488" w:rsidRPr="00B91EEC" w:rsidRDefault="00B91EEC" w:rsidP="00B91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митні правила та процедури, що відповідають практиці ЄС та є зрозумілими для користувачів,</w:t>
      </w:r>
    </w:p>
    <w:p w14:paraId="00000015" w14:textId="77777777" w:rsidR="00F77488" w:rsidRPr="00B91EEC" w:rsidRDefault="00B91EEC" w:rsidP="00B91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швидке проходження товарів для надійних суб'єктів ЗЕД,</w:t>
      </w:r>
    </w:p>
    <w:p w14:paraId="00000016" w14:textId="77777777" w:rsidR="00F77488" w:rsidRPr="00B91EEC" w:rsidRDefault="00B91EEC" w:rsidP="00B91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 xml:space="preserve">розвиток системи аналізу ризиків, інформаційного обміну та інструментів митного контролю після завершення митного оформлення,    </w:t>
      </w:r>
    </w:p>
    <w:p w14:paraId="00000017" w14:textId="2BEE6C42" w:rsidR="00F77488" w:rsidRPr="00B91EEC" w:rsidRDefault="00B91EEC" w:rsidP="00B91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високий професійний рівень митників</w:t>
      </w:r>
    </w:p>
    <w:p w14:paraId="00000018" w14:textId="77777777" w:rsidR="00F77488" w:rsidRPr="00B91EEC" w:rsidRDefault="00F774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00000019" w14:textId="77777777" w:rsidR="00F77488" w:rsidRPr="00B91EEC" w:rsidRDefault="00B91E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 w:rsidRPr="00B91EEC">
        <w:rPr>
          <w:rFonts w:ascii="Times New Roman" w:eastAsia="Times New Roman" w:hAnsi="Times New Roman" w:cs="Times New Roman"/>
          <w:b/>
        </w:rPr>
        <w:t>Підгрупа 3: Бюджетна та боргова політика</w:t>
      </w:r>
    </w:p>
    <w:p w14:paraId="0000001A" w14:textId="77777777" w:rsidR="00F77488" w:rsidRPr="00B91EEC" w:rsidRDefault="00B91EEC">
      <w:pPr>
        <w:rPr>
          <w:rFonts w:ascii="Times New Roman" w:eastAsia="Times New Roman" w:hAnsi="Times New Roman" w:cs="Times New Roman"/>
          <w:b/>
        </w:rPr>
      </w:pPr>
      <w:r w:rsidRPr="00B91EEC">
        <w:rPr>
          <w:rFonts w:ascii="Times New Roman" w:eastAsia="Times New Roman" w:hAnsi="Times New Roman" w:cs="Times New Roman"/>
          <w:i/>
        </w:rPr>
        <w:t>(крос з “Європейська інтеграція”, “Будівництво, містобудування, модернізація міст та регіонів”, “Державне управління”)</w:t>
      </w:r>
    </w:p>
    <w:p w14:paraId="0000001B" w14:textId="7777777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Стабілізація та забезпечення стійкості державних фінансів в умовах воєнного часу та після</w:t>
      </w:r>
    </w:p>
    <w:p w14:paraId="0000001C" w14:textId="7777777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 xml:space="preserve"> Зміни до системи міжбюджетних відносин та інструментів регіонального розвитку (ДФРР) в рамках відновлення</w:t>
      </w:r>
    </w:p>
    <w:p w14:paraId="0000001D" w14:textId="77777777" w:rsidR="00F77488" w:rsidRPr="00B91EEC" w:rsidRDefault="00B91EEC" w:rsidP="00B91E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Фінансова архітектура/ фінансовий механізм Плану відновлення - запуск Фонду відновлення</w:t>
      </w:r>
    </w:p>
    <w:p w14:paraId="0000001F" w14:textId="77777777" w:rsidR="00F77488" w:rsidRPr="00B91EEC" w:rsidRDefault="00F774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00000020" w14:textId="7F4BDD10" w:rsidR="00F77488" w:rsidRDefault="00B91E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B91EEC">
        <w:rPr>
          <w:rFonts w:ascii="Times New Roman" w:eastAsia="Times New Roman" w:hAnsi="Times New Roman" w:cs="Times New Roman"/>
          <w:b/>
        </w:rPr>
        <w:t>Напрям “Розвиток банківської системи, ринку небанківських фінансових послуг та ринків капіталу”</w:t>
      </w:r>
    </w:p>
    <w:p w14:paraId="1C6C99D0" w14:textId="77777777" w:rsidR="00B91EEC" w:rsidRPr="00B91EEC" w:rsidRDefault="00B91E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00000021" w14:textId="77777777" w:rsidR="00F77488" w:rsidRPr="00B91EEC" w:rsidRDefault="00F774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00000022" w14:textId="77777777" w:rsidR="00F77488" w:rsidRPr="00B91EEC" w:rsidRDefault="00B91E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 w:rsidRPr="00B91EEC">
        <w:rPr>
          <w:rFonts w:ascii="Times New Roman" w:eastAsia="Times New Roman" w:hAnsi="Times New Roman" w:cs="Times New Roman"/>
          <w:b/>
        </w:rPr>
        <w:t>Підгрупа 4: Банківська система та ринок небанківських фінансових послуг</w:t>
      </w:r>
    </w:p>
    <w:p w14:paraId="00000023" w14:textId="7777777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Виявлення нагальних проблем у банківській системі, викликаних війною (питання капіталізації, проблемних активів та ін.), шляхи їх розв’язання. Зміцнення банківської системи.</w:t>
      </w:r>
    </w:p>
    <w:p w14:paraId="00000024" w14:textId="7777777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Аналіз актуальних світових практик розвитку банківської системи з фокусом на євроінтеграційний вектор розвитку України</w:t>
      </w:r>
    </w:p>
    <w:p w14:paraId="00000025" w14:textId="7777777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Формування переліку заходів щодо розвитку банківської системи з урахуванням стратегії розвитку та модернізації економіки</w:t>
      </w:r>
    </w:p>
    <w:p w14:paraId="00000026" w14:textId="77777777" w:rsidR="00F77488" w:rsidRPr="00B91EEC" w:rsidRDefault="00B91EEC" w:rsidP="00B91E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Збільшення банківського кредитування як складова відновлення та структурної трансформації економіки</w:t>
      </w:r>
    </w:p>
    <w:p w14:paraId="00000027" w14:textId="77777777" w:rsidR="00F77488" w:rsidRPr="00B91EEC" w:rsidRDefault="00B91EEC" w:rsidP="00B91E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Створення Державного банку відновлення (аналога KFW) на базі АТ “Укрексімбанк”</w:t>
      </w:r>
    </w:p>
    <w:p w14:paraId="00000028" w14:textId="77777777" w:rsidR="00F77488" w:rsidRPr="00B91EEC" w:rsidRDefault="00B91EEC" w:rsidP="00B91E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 xml:space="preserve">Розвиток ринку небанківських фінансових послуг, в тому числі страхового ринку </w:t>
      </w:r>
    </w:p>
    <w:p w14:paraId="00000029" w14:textId="77777777" w:rsidR="00F77488" w:rsidRPr="00B91EEC" w:rsidRDefault="00F774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0000002A" w14:textId="77777777" w:rsidR="00F77488" w:rsidRPr="00B91EEC" w:rsidRDefault="00B91E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  <w:r w:rsidRPr="00B91EEC">
        <w:rPr>
          <w:rFonts w:ascii="Times New Roman" w:eastAsia="Times New Roman" w:hAnsi="Times New Roman" w:cs="Times New Roman"/>
          <w:b/>
        </w:rPr>
        <w:t>Підгрупа 5: Ринки капіталу</w:t>
      </w:r>
    </w:p>
    <w:p w14:paraId="0000002B" w14:textId="7777777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Аналіз нагальних проблем, що стримують розвиток ринків капіталу в Україні</w:t>
      </w:r>
    </w:p>
    <w:p w14:paraId="0000002C" w14:textId="7777777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Аналіз актуальних світових практик розвитку ринків капіталу з фокусом на євроінтеграційний вектор розвитку України</w:t>
      </w:r>
    </w:p>
    <w:p w14:paraId="0000002D" w14:textId="77777777" w:rsidR="00F77488" w:rsidRPr="00B91EEC" w:rsidRDefault="00B91EEC" w:rsidP="00B91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1EEC">
        <w:rPr>
          <w:rFonts w:ascii="Times New Roman" w:eastAsia="Times New Roman" w:hAnsi="Times New Roman" w:cs="Times New Roman"/>
          <w:sz w:val="22"/>
          <w:szCs w:val="22"/>
        </w:rPr>
        <w:t>Формування переліку заходів щодо розвитку ринків капіталу в Україні, в тому числі</w:t>
      </w:r>
      <w:r w:rsidRPr="00B91EE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B91EEC">
        <w:rPr>
          <w:rFonts w:ascii="Times New Roman" w:eastAsia="Times New Roman" w:hAnsi="Times New Roman" w:cs="Times New Roman"/>
          <w:sz w:val="22"/>
          <w:szCs w:val="22"/>
        </w:rPr>
        <w:t>щодо збільшення ліквідності та капіталізації фондового ринку як механізму акумулювання та перерозподілу довгострокових фінансових ресурсів</w:t>
      </w:r>
      <w:r w:rsidRPr="00B91EE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14:paraId="0000002E" w14:textId="77777777" w:rsidR="00F77488" w:rsidRDefault="00F774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2F" w14:textId="77777777" w:rsidR="00F77488" w:rsidRDefault="00F774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30" w14:textId="77777777" w:rsidR="00F77488" w:rsidRDefault="00F77488">
      <w:pPr>
        <w:rPr>
          <w:color w:val="FF0000"/>
        </w:rPr>
      </w:pPr>
    </w:p>
    <w:sectPr w:rsidR="00F77488" w:rsidSect="00F22CD5">
      <w:footerReference w:type="default" r:id="rId8"/>
      <w:pgSz w:w="12240" w:h="15840"/>
      <w:pgMar w:top="1440" w:right="1440" w:bottom="1440" w:left="1440" w:header="340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115D" w14:textId="77777777" w:rsidR="00204845" w:rsidRDefault="00204845" w:rsidP="00F22CD5">
      <w:r>
        <w:separator/>
      </w:r>
    </w:p>
  </w:endnote>
  <w:endnote w:type="continuationSeparator" w:id="0">
    <w:p w14:paraId="1634F90F" w14:textId="77777777" w:rsidR="00204845" w:rsidRDefault="00204845" w:rsidP="00F2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759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41230" w14:textId="7C7F4C1A" w:rsidR="00F22CD5" w:rsidRDefault="00F22C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C5849" w14:textId="77777777" w:rsidR="00F22CD5" w:rsidRDefault="00F2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FBAA" w14:textId="77777777" w:rsidR="00204845" w:rsidRDefault="00204845" w:rsidP="00F22CD5">
      <w:r>
        <w:separator/>
      </w:r>
    </w:p>
  </w:footnote>
  <w:footnote w:type="continuationSeparator" w:id="0">
    <w:p w14:paraId="03824D2D" w14:textId="77777777" w:rsidR="00204845" w:rsidRDefault="00204845" w:rsidP="00F2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81E"/>
    <w:multiLevelType w:val="multilevel"/>
    <w:tmpl w:val="84B82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D81976"/>
    <w:multiLevelType w:val="multilevel"/>
    <w:tmpl w:val="ECA4D0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281351616">
    <w:abstractNumId w:val="1"/>
  </w:num>
  <w:num w:numId="2" w16cid:durableId="133191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88"/>
    <w:rsid w:val="00204845"/>
    <w:rsid w:val="00226709"/>
    <w:rsid w:val="00777EC0"/>
    <w:rsid w:val="00A2035D"/>
    <w:rsid w:val="00B91EEC"/>
    <w:rsid w:val="00D15ED5"/>
    <w:rsid w:val="00F22CD5"/>
    <w:rsid w:val="00F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6615"/>
  <w15:docId w15:val="{E1C41A4B-93FB-406C-A376-4934C2F7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944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22C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D5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F22C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D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Rz2FZTAD5NS/8R+wINFCp/MFg==">AMUW2mXKDLwYJ6wYTvPD3ZHu65/VDFAttjaw2d6kU3E/COIHhMR+MPUj2AR+VsX2AzJTfjIpwqvKGs965HhBmWk/wzKErA8H7K21v8A9OS7JZD4yGe8Dx5g=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2022-05-11T11:59:00Z</dcterms:created>
  <dcterms:modified xsi:type="dcterms:W3CDTF">2022-05-12T17:22:00Z</dcterms:modified>
</cp:coreProperties>
</file>